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0"/>
        <w:jc w:val="center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color w:val="cc0066"/>
          <w:sz w:val="28"/>
          <w:szCs w:val="28"/>
          <w:highlight w:val="white"/>
          <w:rtl w:val="off"/>
          <w:lang w:val="en-US"/>
        </w:rPr>
        <w:t xml:space="preserve">Проект «Финансовая грамотность» </w:t>
      </w:r>
    </w:p>
    <w:p w14:paraId="00000002">
      <w:pPr>
        <w:ind w:left="295"/>
        <w:rPr>
          <w:rFonts w:ascii="Times New Roman" w:cs="Times New Roman" w:hAnsi="Times New Roman"/>
          <w:sz w:val="28"/>
          <w:szCs w:val="28"/>
        </w:rPr>
      </w:pP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color w:val="000000"/>
          <w:sz w:val="28"/>
          <w:szCs w:val="28"/>
          <w:highlight w:val="white"/>
          <w:rtl w:val="off"/>
          <w:lang w:val="en-US"/>
        </w:rPr>
        <w:t>Актуальность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Проект предусматривает тесный контакт между детьми, воспитателем и родителями, что облегчает восприятие детьми нового материала.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Повышение интереса к экономическому воспитанию в новых и весьма противоречивых условиях социальной жизни закономерно, так как от экономической культуры во многом зависит преодоление трудностей в политической, социальной и культурной жизни общества.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Обращение к экономическому воспитанию детей дошкольного возраста является актуальным вопросом на современном этапе, так как дети быстрее впитывают атмосферу новой реальности, лучше адаптируются к ней.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В современном мире ребенок поневоле встречается с экономикой, даже если его не учат этому. Он узнаёт, что такое «моё», «твоё», «наше», «обмен», «деньги», «цена» и пр.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Введение элементов экономического воспитания в образовательную деятельность с дошкольниками - это не дань моде, а, прежде всего, необходимость ещё в детстве дать детям представление о рыночной экономике и её закономерностях, способствовать развитию самостоятельности детей.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Обучение экономической культуре не сводится к тому, чтобы учить зарабатывать деньги. На первый план ставится формирование нравственных понятий: честность, обязательность, умение подчинять свои желания возможностям, законопослушность, взаимопомощь и пр. А также ориентация дошкольников в экономическом пространстве современного мира на материале составленном в соответствии с возрастными возможностями.</w:t>
      </w:r>
      <w:r>
        <w:rPr>
          <w:rFonts w:ascii="Times New Roman" w:cs="Times New Roman" w:hAnsi="Times New Roman"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ind w:left="295" w:firstLine="535"/>
        <w:rPr>
          <w:rFonts w:ascii="Times New Roman" w:cs="Times New Roman" w:hAnsi="Times New Roman"/>
          <w:sz w:val="28"/>
          <w:szCs w:val="28"/>
        </w:rPr>
      </w:pPr>
    </w:p>
    <w:p w14:paraId="0000000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color w:val="000000"/>
          <w:sz w:val="28"/>
          <w:szCs w:val="28"/>
          <w:highlight w:val="white"/>
          <w:rtl w:val="off"/>
          <w:lang w:val="en-US"/>
        </w:rPr>
        <w:t>Цель проекта:</w:t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 xml:space="preserve"> содействие финансовому просвещению и экономическому воспитанию детей дошкольного возраста, создание необходимой мотивации для повышения их финансовой грамотности.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/>
          <w:color w:val="000000"/>
          <w:sz w:val="28"/>
          <w:szCs w:val="28"/>
          <w:highlight w:val="white"/>
          <w:rtl w:val="off"/>
          <w:lang w:val="en-US"/>
        </w:rPr>
        <w:t>Задачи: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Формировать основы финансовой грамотности у дошкольников.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Развивать основы финансовой грамотности дошкольников, посредством разнообразных видов детской деятельности.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Совершенствовать коммуникативные качества детей.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Содействовать проявлению интереса у детей к профессиональной деятельности взрослых.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Развивать умение творчески подходить к решению ситуаций, финансовых отношений, посредством игровых действий.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Воспитывать бережливость, ответственность, дружелюбие, взаимопонимание.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Обучать в игровой форме экономическим знаниям.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/>
          <w:color w:val="000000"/>
          <w:sz w:val="28"/>
          <w:szCs w:val="28"/>
          <w:highlight w:val="white"/>
          <w:rtl w:val="off"/>
          <w:lang w:val="en-US"/>
        </w:rPr>
        <w:t>Участники проекта: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дети старшей – подготовительной группы (5-7 лет);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воспитатель группы;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>родители.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/>
          <w:color w:val="000000"/>
          <w:sz w:val="28"/>
          <w:szCs w:val="28"/>
          <w:highlight w:val="white"/>
          <w:rtl w:val="off"/>
          <w:lang w:val="en-US"/>
        </w:rPr>
        <w:t>Сроки реализации проекта:</w:t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 xml:space="preserve"> долгосрочный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b/>
          <w:color w:val="000000"/>
          <w:sz w:val="28"/>
          <w:szCs w:val="28"/>
          <w:highlight w:val="white"/>
          <w:rtl w:val="off"/>
          <w:lang w:val="en-US"/>
        </w:rPr>
        <w:t>Тип проекта:</w:t>
      </w:r>
      <w:r>
        <w:rPr>
          <w:rFonts w:ascii="Times New Roman" w:cs="Times New Roman" w:hAnsi="Times New Roman"/>
          <w:color w:val="000000"/>
          <w:sz w:val="28"/>
          <w:szCs w:val="28"/>
          <w:highlight w:val="white"/>
          <w:rtl w:val="off"/>
          <w:lang w:val="en-US"/>
        </w:rPr>
        <w:t xml:space="preserve"> информационно-практико-ориентированный.</w:t>
      </w:r>
      <w:r>
        <w:rPr>
          <w:rFonts w:ascii="Times New Roman" w:cs="Times New Roman" w:hAnsi="Times New Roman"/>
          <w:color w:val="000000"/>
          <w:sz w:val="28"/>
          <w:szCs w:val="28"/>
          <w:rtl w:val="off"/>
          <w:lang w:val="en-US"/>
        </w:rPr>
        <w:t xml:space="preserve"> </w:t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lang w:val="ru-RU"/>
        </w:rPr>
        <w:t>Практическая часть: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1.Игры по финансовой грамотности –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«Угадай, где продается», «Что мы</w:t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купим в магазине?».</w:t>
      </w: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en-US"/>
        </w:rPr>
      </w:pPr>
    </w:p>
    <w:p w14:paraId="0000000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Консультация –</w:t>
      </w: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«Финансовая</w:t>
      </w:r>
    </w:p>
    <w:p w14:paraId="0000000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грамотность вашего ребенка”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en-US"/>
        </w:rPr>
      </w:pP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2.Беседы – «Юные финансисты»,</w:t>
      </w: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 xml:space="preserve">«Бартер». 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3.Развивающие альбомы – «История</w:t>
      </w: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возникновения денег», «Финансовая</w:t>
      </w:r>
    </w:p>
    <w:p w14:paraId="0000001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грамотность».</w:t>
      </w:r>
    </w:p>
    <w:p w14:paraId="0000001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 xml:space="preserve">4.Занятие. «Труд и товар» </w:t>
      </w:r>
    </w:p>
    <w:p w14:paraId="0000001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5.Дидактические игры – «Какие</w:t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бывают доходы?», «Маршруты</w:t>
      </w:r>
    </w:p>
    <w:p w14:paraId="0000001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товаров», «Собери вместе»</w:t>
      </w: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6.Сказки – «Как на Руси рубль</w:t>
      </w:r>
    </w:p>
    <w:p w14:paraId="0000001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появился», «Сказка про умный</w:t>
      </w:r>
    </w:p>
    <w:p w14:paraId="0000001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рубль», «Чтобы жить хорошо, нужно</w:t>
      </w:r>
    </w:p>
    <w:p w14:paraId="0000001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потрудиться», «Буратино». (№4)</w:t>
      </w:r>
    </w:p>
    <w:p w14:paraId="0000001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7.Сюжетно – ролевые игры –</w:t>
      </w:r>
    </w:p>
    <w:p w14:paraId="0000001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«Супермаркет».</w:t>
      </w:r>
    </w:p>
    <w:p w14:paraId="0000001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8.Художественно – эстетическое</w:t>
      </w:r>
    </w:p>
    <w:p w14:paraId="0000002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развитие.</w:t>
      </w:r>
    </w:p>
    <w:p w14:paraId="0000002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«Новые купюры»- рисование.</w:t>
      </w:r>
    </w:p>
    <w:p w14:paraId="0000002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9.Экскурсия в магазин.</w:t>
      </w:r>
    </w:p>
    <w:p w14:paraId="0000002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 xml:space="preserve">10.Проблемные ситуации. </w:t>
      </w:r>
    </w:p>
    <w:p w14:paraId="0000002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11.Беседы. «В лесной академии гнома</w:t>
      </w:r>
    </w:p>
    <w:p w14:paraId="0000002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Эконома», «Гном Эконом</w:t>
      </w:r>
    </w:p>
    <w:p w14:paraId="0000002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экономит электроэнергию»</w:t>
      </w:r>
    </w:p>
    <w:p w14:paraId="0000002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295" w:right="0" w:firstLine="535"/>
        <w:jc w:val="left"/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b w:val="off"/>
          <w:bCs w:val="off"/>
          <w:color w:val="000000"/>
          <w:sz w:val="28"/>
          <w:szCs w:val="28"/>
          <w:lang w:val="ru-RU"/>
        </w:rPr>
        <w:t>12.Загадки, пословицы,</w:t>
      </w:r>
    </w:p>
    <w:p w14:paraId="00000028">
      <w:pPr>
        <w:ind w:left="295" w:firstLine="535"/>
        <w:rPr>
          <w:rFonts w:ascii="Times New Roman" w:cs="Times New Roman" w:hAnsi="Times New Roman"/>
          <w:b w:val="off"/>
          <w:bCs w:val="off"/>
          <w:sz w:val="28"/>
          <w:szCs w:val="28"/>
        </w:rPr>
      </w:pPr>
      <w:r>
        <w:rPr>
          <w:rFonts w:ascii="Times New Roman" w:cs="Times New Roman" w:hAnsi="Times New Roman"/>
          <w:b w:val="off"/>
          <w:bCs w:val="off"/>
          <w:sz w:val="28"/>
          <w:szCs w:val="28"/>
          <w:lang w:val="ru-RU"/>
        </w:rPr>
        <w:t>13. Банковские карты своими руками для игры в банкомат</w:t>
      </w:r>
    </w:p>
    <w:p w14:paraId="00000029">
      <w:pPr>
        <w:ind w:left="295" w:firstLine="535"/>
        <w:rPr>
          <w:rFonts w:ascii="Times New Roman" w:cs="Times New Roman" w:hAnsi="Times New Roman"/>
          <w:b w:val="off"/>
          <w:bCs w:val="off"/>
          <w:sz w:val="28"/>
          <w:szCs w:val="28"/>
        </w:rPr>
      </w:pPr>
      <w:r>
        <w:rPr>
          <w:rFonts w:ascii="Times New Roman" w:cs="Times New Roman" w:hAnsi="Times New Roman"/>
          <w:b w:val="off"/>
          <w:bCs w:val="off"/>
          <w:sz w:val="28"/>
          <w:szCs w:val="28"/>
        </w:rPr>
        <w:drawing xmlns:mc="http://schemas.openxmlformats.org/markup-compatibility/2006">
          <wp:inline>
            <wp:extent cx="4147185" cy="2059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4"/>
                    <a:srcRect l="13384" t="0" r="16321" b="22442"/>
                    <a:stretch/>
                  </pic:blipFill>
                  <pic:spPr>
                    <a:xfrm>
                      <a:off x="0" y="0"/>
                      <a:ext cx="414782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A">
      <w:pPr>
        <w:ind w:left="295" w:firstLine="535"/>
        <w:rPr>
          <w:rFonts w:ascii="Times New Roman" w:cs="Times New Roman" w:hAnsi="Times New Roman"/>
          <w:b w:val="off"/>
          <w:bCs w:val="off"/>
          <w:sz w:val="28"/>
          <w:szCs w:val="28"/>
        </w:rPr>
      </w:pPr>
      <w:r>
        <w:rPr>
          <w:rFonts w:ascii="Times New Roman" w:cs="Times New Roman" w:hAnsi="Times New Roman"/>
          <w:b w:val="off"/>
          <w:bCs w:val="off"/>
          <w:sz w:val="28"/>
          <w:szCs w:val="28"/>
        </w:rPr>
        <w:drawing xmlns:mc="http://schemas.openxmlformats.org/markup-compatibility/2006">
          <wp:inline>
            <wp:extent cx="2270125" cy="28632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 l="0" t="13730" r="0" b="29527"/>
                    <a:stretch/>
                  </pic:blipFill>
                  <pic:spPr>
                    <a:xfrm>
                      <a:off x="0" y="0"/>
                      <a:ext cx="227012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b w:val="off"/>
          <w:bCs w:val="off"/>
          <w:sz w:val="28"/>
          <w:szCs w:val="28"/>
        </w:rPr>
        <w:drawing xmlns:mc="http://schemas.openxmlformats.org/markup-compatibility/2006">
          <wp:inline>
            <wp:extent cx="2331720" cy="28467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Grp="0" noSelect="0" noChangeAspect="1" noMove="0"/>
                    </pic:cNvPicPr>
                  </pic:nvPicPr>
                  <pic:blipFill>
                    <a:blip r:embed="rId6"/>
                    <a:srcRect l="0" t="17450" r="0" b="27613"/>
                    <a:stretch/>
                  </pic:blipFill>
                  <pic:spPr>
                    <a:xfrm>
                      <a:off x="0" y="0"/>
                      <a:ext cx="233172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B">
      <w:pPr>
        <w:ind w:left="295" w:firstLine="535"/>
        <w:rPr>
          <w:rFonts w:ascii="Times New Roman" w:cs="Times New Roman" w:hAnsi="Times New Roman"/>
          <w:b w:val="off"/>
          <w:bCs w:val="off"/>
          <w:sz w:val="28"/>
          <w:szCs w:val="28"/>
        </w:rPr>
      </w:pPr>
      <w:r>
        <w:rPr>
          <w:rFonts w:ascii="Times New Roman" w:cs="Times New Roman" w:hAnsi="Times New Roman"/>
          <w:b w:val="off"/>
          <w:bCs w:val="off"/>
          <w:sz w:val="28"/>
          <w:szCs w:val="28"/>
        </w:rPr>
        <w:drawing xmlns:mc="http://schemas.openxmlformats.org/markup-compatibility/2006">
          <wp:inline>
            <wp:extent cx="2602230" cy="26346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Grp="0" noSelect="0" noChangeAspect="1" noMove="0"/>
                    </pic:cNvPicPr>
                  </pic:nvPicPr>
                  <pic:blipFill>
                    <a:blip r:embed="rId7"/>
                    <a:srcRect l="0" t="13575" r="-3015" b="39497"/>
                    <a:stretch/>
                  </pic:blipFill>
                  <pic:spPr>
                    <a:xfrm>
                      <a:off x="0" y="0"/>
                      <a:ext cx="260223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/>
      <w:footnotePr/>
      <w:type w:val="nextPage"/>
      <w:pgSz w:w="11906" w:h="16838" w:orient="portrait"/>
      <w:pgMar w:top="703" w:right="1440" w:bottom="1440" w:left="868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Trebuchet MS">
    <w:charset w:val="00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Гизетдинова</dc:creator>
  <cp:lastModifiedBy>Олеся Гизетдинова</cp:lastModifiedBy>
</cp:coreProperties>
</file>